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6B" w:rsidRDefault="00335D6B" w:rsidP="00335D6B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46"/>
          <w:szCs w:val="46"/>
        </w:rPr>
      </w:pPr>
      <w:r>
        <w:rPr>
          <w:rFonts w:ascii="KlinicSlab-Bold" w:hAnsi="KlinicSlab-Bold" w:cs="KlinicSlab-Bold"/>
          <w:b/>
          <w:bCs/>
          <w:color w:val="004C98"/>
          <w:sz w:val="46"/>
          <w:szCs w:val="46"/>
        </w:rPr>
        <w:t>Administering a Subcutaneous Injection</w:t>
      </w:r>
    </w:p>
    <w:p w:rsidR="00335D6B" w:rsidRDefault="00335D6B" w:rsidP="00335D6B">
      <w:pPr>
        <w:autoSpaceDE w:val="0"/>
        <w:autoSpaceDN w:val="0"/>
        <w:adjustRightInd w:val="0"/>
        <w:spacing w:after="0" w:line="240" w:lineRule="auto"/>
        <w:rPr>
          <w:rFonts w:ascii="Lasiver-RegularItalic" w:hAnsi="Lasiver-RegularItalic" w:cs="Lasiver-RegularItalic"/>
          <w:i/>
          <w:iCs/>
          <w:color w:val="6E6F71"/>
          <w:sz w:val="19"/>
          <w:szCs w:val="19"/>
        </w:rPr>
      </w:pPr>
      <w:r>
        <w:rPr>
          <w:rFonts w:ascii="Lasiver-RegularItalic" w:hAnsi="Lasiver-RegularItalic" w:cs="Lasiver-RegularItalic"/>
          <w:i/>
          <w:iCs/>
          <w:color w:val="6E6F71"/>
          <w:sz w:val="19"/>
          <w:szCs w:val="19"/>
        </w:rPr>
        <w:t>Participant must talk through practicum steps with judge.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900"/>
        <w:gridCol w:w="805"/>
      </w:tblGrid>
      <w:tr w:rsidR="00335D6B" w:rsidTr="00335D6B">
        <w:tc>
          <w:tcPr>
            <w:tcW w:w="7645" w:type="dxa"/>
          </w:tcPr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  <w:t xml:space="preserve">CRITERIA </w:t>
            </w:r>
          </w:p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Points</w:t>
            </w:r>
          </w:p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Possible</w:t>
            </w:r>
          </w:p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805" w:type="dxa"/>
          </w:tcPr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Points</w:t>
            </w:r>
          </w:p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color w:val="6E6F71"/>
                <w:sz w:val="18"/>
                <w:szCs w:val="18"/>
              </w:rPr>
            </w:pPr>
            <w:r>
              <w:rPr>
                <w:rFonts w:ascii="Lasiver-Medium" w:hAnsi="Lasiver-Medium" w:cs="Lasiver-Medium"/>
                <w:color w:val="6E6F71"/>
                <w:sz w:val="18"/>
                <w:szCs w:val="18"/>
              </w:rPr>
              <w:t>Earned</w:t>
            </w:r>
          </w:p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35D6B" w:rsidTr="00335D6B">
        <w:tc>
          <w:tcPr>
            <w:tcW w:w="7645" w:type="dxa"/>
          </w:tcPr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lifts the skin using the thumb and forefinger forming a triangle or tent with the skin. </w:t>
            </w:r>
          </w:p>
          <w:p w:rsidR="004202D6" w:rsidRDefault="004202D6" w:rsidP="004202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selects site with loose skin (</w:t>
            </w:r>
            <w:r w:rsidR="00070064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between shoulder blades or above the ribs on either side of thorax) – 3 pts</w:t>
            </w:r>
          </w:p>
          <w:p w:rsidR="00070064" w:rsidRDefault="00070064" w:rsidP="004202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cleans site with alcohol and cotton swab – 2 pts</w:t>
            </w:r>
          </w:p>
          <w:p w:rsidR="00070064" w:rsidRDefault="00070064" w:rsidP="004202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uses thumb and forefinger </w:t>
            </w:r>
            <w:r w:rsidR="00AB1026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of non-dominant hand </w:t>
            </w: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to lift skin upwards – 2 pts</w:t>
            </w:r>
          </w:p>
          <w:p w:rsidR="00070064" w:rsidRPr="004202D6" w:rsidRDefault="00070064" w:rsidP="004202D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creates a “tent” of skin with a clear indentation – 3 pts</w:t>
            </w:r>
          </w:p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10</w:t>
            </w:r>
          </w:p>
        </w:tc>
        <w:tc>
          <w:tcPr>
            <w:tcW w:w="805" w:type="dxa"/>
          </w:tcPr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35D6B" w:rsidTr="00335D6B">
        <w:tc>
          <w:tcPr>
            <w:tcW w:w="7645" w:type="dxa"/>
          </w:tcPr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inserts the needle into the skin at the base of the tent or triangle parallel to the body. </w:t>
            </w:r>
          </w:p>
          <w:p w:rsidR="00AB1026" w:rsidRDefault="00AB1026" w:rsidP="000700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holds syringe with dominant hand – 2 pts</w:t>
            </w:r>
          </w:p>
          <w:p w:rsidR="00070064" w:rsidRDefault="00070064" w:rsidP="000700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holds syringe parallel to the skin</w:t>
            </w:r>
            <w:r w:rsidR="00AB1026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on the back of the animal – 2 pts</w:t>
            </w:r>
          </w:p>
          <w:p w:rsidR="00070064" w:rsidRDefault="00070064" w:rsidP="000700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ensures the needle bevel is up</w:t>
            </w:r>
            <w:r w:rsidR="00AB1026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2 pts</w:t>
            </w:r>
          </w:p>
          <w:p w:rsidR="00070064" w:rsidRDefault="00070064" w:rsidP="000700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inserts needle into the indentation made by the “tented” skin</w:t>
            </w:r>
            <w:r w:rsidR="00AB1026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2 pts</w:t>
            </w:r>
          </w:p>
          <w:p w:rsidR="00070064" w:rsidRPr="00070064" w:rsidRDefault="00070064" w:rsidP="0007006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Student ensures that the needle </w:t>
            </w:r>
            <w:r w:rsidR="00AB1026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does not pass completely through the skin to the outside – 2 pts</w:t>
            </w:r>
          </w:p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10</w:t>
            </w:r>
          </w:p>
        </w:tc>
        <w:tc>
          <w:tcPr>
            <w:tcW w:w="805" w:type="dxa"/>
          </w:tcPr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35D6B" w:rsidTr="00335D6B">
        <w:tc>
          <w:tcPr>
            <w:tcW w:w="7645" w:type="dxa"/>
          </w:tcPr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aspirates; looking for any signs of blood entering the syringe; if no blood enters the syringe, the student administers the injection. </w:t>
            </w:r>
          </w:p>
          <w:p w:rsidR="00AB1026" w:rsidRDefault="00AB1026" w:rsidP="00AB10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pulls back gently on plunger – 4 pts</w:t>
            </w:r>
          </w:p>
          <w:p w:rsidR="00AB1026" w:rsidRDefault="00AB1026" w:rsidP="00AB10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looks for blood in syringe – 3 pts</w:t>
            </w:r>
          </w:p>
          <w:p w:rsidR="00AB1026" w:rsidRPr="00AB1026" w:rsidRDefault="00AB1026" w:rsidP="00AB10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slowly injects fluid allowing time for fluid to disperse – 3 pts</w:t>
            </w:r>
          </w:p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10</w:t>
            </w:r>
          </w:p>
        </w:tc>
        <w:tc>
          <w:tcPr>
            <w:tcW w:w="805" w:type="dxa"/>
          </w:tcPr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35D6B" w:rsidTr="00335D6B">
        <w:tc>
          <w:tcPr>
            <w:tcW w:w="7645" w:type="dxa"/>
          </w:tcPr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withdraws the needle and places in the sharps container. </w:t>
            </w:r>
          </w:p>
          <w:p w:rsidR="00AB1026" w:rsidRDefault="00AB1026" w:rsidP="00AB10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removes needle by backing out along the same path used to enter the skin</w:t>
            </w:r>
            <w:r w:rsidR="007D40C7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3 pts</w:t>
            </w:r>
          </w:p>
          <w:p w:rsidR="00AB1026" w:rsidRDefault="00AB1026" w:rsidP="00AB10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does not recap needle</w:t>
            </w:r>
            <w:r w:rsidR="007D40C7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4 pts</w:t>
            </w:r>
          </w:p>
          <w:p w:rsidR="00AB1026" w:rsidRPr="00AB1026" w:rsidRDefault="00AB1026" w:rsidP="00AB10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places syringe with needle in sharps container</w:t>
            </w:r>
            <w:r w:rsidR="007D40C7"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 – 3 pts</w:t>
            </w:r>
          </w:p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10</w:t>
            </w:r>
          </w:p>
        </w:tc>
        <w:tc>
          <w:tcPr>
            <w:tcW w:w="805" w:type="dxa"/>
          </w:tcPr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35D6B" w:rsidTr="00335D6B">
        <w:tc>
          <w:tcPr>
            <w:tcW w:w="7645" w:type="dxa"/>
          </w:tcPr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 xml:space="preserve">The student rubs the injection site and praises the patient. </w:t>
            </w:r>
          </w:p>
          <w:p w:rsidR="007D40C7" w:rsidRDefault="007D40C7" w:rsidP="007D40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rubs the injection site – 4 pts</w:t>
            </w:r>
          </w:p>
          <w:p w:rsidR="007D40C7" w:rsidRDefault="007D40C7" w:rsidP="007D40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checks for leakage of fluid or bleeding – 3 pts</w:t>
            </w:r>
          </w:p>
          <w:p w:rsidR="007D40C7" w:rsidRPr="007D40C7" w:rsidRDefault="007D40C7" w:rsidP="007D40C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color w:val="6E6F71"/>
                <w:sz w:val="18"/>
                <w:szCs w:val="18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Student praises patient with words and/or petting – 3 pts</w:t>
            </w:r>
            <w:bookmarkStart w:id="0" w:name="_GoBack"/>
            <w:bookmarkEnd w:id="0"/>
          </w:p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Regular" w:hAnsi="Lasiver-Regular" w:cs="Lasiver-Regular"/>
                <w:color w:val="6E6F71"/>
                <w:sz w:val="18"/>
                <w:szCs w:val="18"/>
              </w:rPr>
              <w:t>10</w:t>
            </w:r>
          </w:p>
        </w:tc>
        <w:tc>
          <w:tcPr>
            <w:tcW w:w="805" w:type="dxa"/>
          </w:tcPr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  <w:tr w:rsidR="00335D6B" w:rsidTr="00335D6B">
        <w:tc>
          <w:tcPr>
            <w:tcW w:w="7645" w:type="dxa"/>
          </w:tcPr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Bold" w:hAnsi="Lasiver-Bold" w:cs="Lasiver-Bold"/>
                <w:b/>
                <w:bCs/>
                <w:color w:val="6E6F71"/>
                <w:sz w:val="20"/>
                <w:szCs w:val="20"/>
              </w:rPr>
              <w:t xml:space="preserve">TOTAL POINTS </w:t>
            </w:r>
          </w:p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  <w:tc>
          <w:tcPr>
            <w:tcW w:w="900" w:type="dxa"/>
          </w:tcPr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  <w:r>
              <w:rPr>
                <w:rFonts w:ascii="Lasiver-Bold" w:hAnsi="Lasiver-Bold" w:cs="Lasiver-Bold"/>
                <w:b/>
                <w:bCs/>
                <w:color w:val="6E6F71"/>
              </w:rPr>
              <w:t>50</w:t>
            </w:r>
          </w:p>
        </w:tc>
        <w:tc>
          <w:tcPr>
            <w:tcW w:w="805" w:type="dxa"/>
          </w:tcPr>
          <w:p w:rsidR="00335D6B" w:rsidRDefault="00335D6B" w:rsidP="00335D6B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color w:val="004C98"/>
                <w:sz w:val="24"/>
                <w:szCs w:val="24"/>
              </w:rPr>
            </w:pPr>
          </w:p>
        </w:tc>
      </w:tr>
    </w:tbl>
    <w:p w:rsidR="00335D6B" w:rsidRDefault="00335D6B" w:rsidP="00335D6B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24"/>
          <w:szCs w:val="24"/>
        </w:rPr>
      </w:pPr>
    </w:p>
    <w:p w:rsidR="004500F1" w:rsidRDefault="004500F1" w:rsidP="004500F1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24"/>
          <w:szCs w:val="24"/>
        </w:rPr>
      </w:pPr>
    </w:p>
    <w:sectPr w:rsidR="00450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linicSlab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siver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B60"/>
    <w:multiLevelType w:val="hybridMultilevel"/>
    <w:tmpl w:val="584C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62AC2"/>
    <w:multiLevelType w:val="hybridMultilevel"/>
    <w:tmpl w:val="2046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1643"/>
    <w:multiLevelType w:val="hybridMultilevel"/>
    <w:tmpl w:val="891A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B04CF"/>
    <w:multiLevelType w:val="hybridMultilevel"/>
    <w:tmpl w:val="5786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22670"/>
    <w:multiLevelType w:val="hybridMultilevel"/>
    <w:tmpl w:val="8E70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73F7E"/>
    <w:multiLevelType w:val="hybridMultilevel"/>
    <w:tmpl w:val="E500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4"/>
    <w:rsid w:val="00070064"/>
    <w:rsid w:val="000A109C"/>
    <w:rsid w:val="002349F1"/>
    <w:rsid w:val="002825CE"/>
    <w:rsid w:val="00335D6B"/>
    <w:rsid w:val="003C7A32"/>
    <w:rsid w:val="004202D6"/>
    <w:rsid w:val="004500F1"/>
    <w:rsid w:val="00605421"/>
    <w:rsid w:val="00664CD1"/>
    <w:rsid w:val="00727414"/>
    <w:rsid w:val="00787CFE"/>
    <w:rsid w:val="007D40C7"/>
    <w:rsid w:val="00811785"/>
    <w:rsid w:val="0089546E"/>
    <w:rsid w:val="00996801"/>
    <w:rsid w:val="00A6451E"/>
    <w:rsid w:val="00AB1026"/>
    <w:rsid w:val="00BF69EE"/>
    <w:rsid w:val="00F1785B"/>
    <w:rsid w:val="00F4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E31D7"/>
  <w15:chartTrackingRefBased/>
  <w15:docId w15:val="{D09622FF-AA1A-424B-8A81-F64DF911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Torri</dc:creator>
  <cp:keywords/>
  <dc:description/>
  <cp:lastModifiedBy>Whitaker, Torri</cp:lastModifiedBy>
  <cp:revision>4</cp:revision>
  <dcterms:created xsi:type="dcterms:W3CDTF">2016-10-31T18:32:00Z</dcterms:created>
  <dcterms:modified xsi:type="dcterms:W3CDTF">2018-11-28T15:42:00Z</dcterms:modified>
</cp:coreProperties>
</file>